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210" w:afterAutospacing="0" w:line="21" w:lineRule="atLeast"/>
        <w:jc w:val="center"/>
        <w:rPr>
          <w:rFonts w:hint="default" w:ascii="微软雅黑" w:hAnsi="微软雅黑" w:eastAsia="微软雅黑"/>
          <w:bCs/>
          <w:color w:val="000000"/>
          <w:sz w:val="28"/>
          <w:szCs w:val="28"/>
        </w:rPr>
      </w:pPr>
      <w:bookmarkStart w:id="0" w:name="_GoBack"/>
      <w:bookmarkEnd w:id="0"/>
      <w:r>
        <w:rPr>
          <w:rFonts w:ascii="微软雅黑" w:hAnsi="微软雅黑" w:eastAsia="微软雅黑" w:cs="微软雅黑"/>
          <w:color w:val="333333"/>
          <w:spacing w:val="8"/>
          <w:sz w:val="33"/>
          <w:szCs w:val="33"/>
          <w:shd w:val="clear" w:color="auto" w:fill="FFFFFF"/>
        </w:rPr>
        <w:t>关于延期开学期间在线开展教学工作的通知</w:t>
      </w:r>
    </w:p>
    <w:p>
      <w:pPr>
        <w:shd w:val="clear" w:color="auto" w:fill="FFFFFF"/>
        <w:spacing w:line="420" w:lineRule="atLeast"/>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各院系(部)：</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为全力做好新型冠状病毒感染的肺炎疫情防控工作，按照中央应对新型冠状病毒感染肺炎疫情工作领导小组要求和教育部、省教育厅的部署，经院疫情防控领导小组研究决定，要求全院各单位、全体教职员工做好延期开学的工作预案和相应准备工作，共同打好这场“抗疫战”！坚持“停课不停学、学习不延期”原则，结合我校实际，主要采用基于“超星一平三端教学平台” （</w:t>
      </w:r>
      <w:r>
        <w:fldChar w:fldCharType="begin"/>
      </w:r>
      <w:r>
        <w:instrText xml:space="preserve"> HYPERLINK "http://fjmzw.fanya.chaoxing.com" </w:instrText>
      </w:r>
      <w:r>
        <w:fldChar w:fldCharType="separate"/>
      </w:r>
      <w:r>
        <w:rPr>
          <w:rFonts w:hint="eastAsia" w:ascii="仿宋_gb2312" w:hAnsi="宋体" w:eastAsia="仿宋_gb2312" w:cs="宋体"/>
          <w:color w:val="000000"/>
          <w:kern w:val="0"/>
          <w:sz w:val="35"/>
          <w:szCs w:val="35"/>
        </w:rPr>
        <w:t>http://fjmzw.fanya.chaoxing.com</w:t>
      </w:r>
      <w:r>
        <w:rPr>
          <w:rFonts w:hint="eastAsia" w:ascii="仿宋_gb2312" w:hAnsi="宋体" w:eastAsia="仿宋_gb2312" w:cs="宋体"/>
          <w:color w:val="000000"/>
          <w:kern w:val="0"/>
          <w:sz w:val="35"/>
          <w:szCs w:val="35"/>
        </w:rPr>
        <w:fldChar w:fldCharType="end"/>
      </w:r>
      <w:r>
        <w:rPr>
          <w:rFonts w:hint="eastAsia" w:ascii="仿宋_gb2312" w:hAnsi="宋体" w:eastAsia="仿宋_gb2312" w:cs="宋体"/>
          <w:color w:val="000000"/>
          <w:kern w:val="0"/>
          <w:sz w:val="35"/>
          <w:szCs w:val="35"/>
        </w:rPr>
        <w:t>）、智慧职教等在线教学平台开展在线教学的相关事宜通知如下：</w:t>
      </w:r>
    </w:p>
    <w:p>
      <w:pPr>
        <w:pStyle w:val="3"/>
        <w:shd w:val="clear" w:color="auto" w:fill="FFFFFF"/>
        <w:spacing w:beforeAutospacing="0" w:afterAutospacing="0" w:line="240" w:lineRule="auto"/>
        <w:rPr>
          <w:rFonts w:hint="default" w:ascii="微软雅黑" w:hAnsi="微软雅黑" w:eastAsia="微软雅黑" w:cs="微软雅黑"/>
          <w:color w:val="333333"/>
          <w:spacing w:val="8"/>
          <w:sz w:val="30"/>
          <w:szCs w:val="30"/>
          <w:shd w:val="clear" w:color="auto" w:fill="FFFFFF"/>
        </w:rPr>
      </w:pPr>
      <w:r>
        <w:rPr>
          <w:rFonts w:ascii="微软雅黑" w:hAnsi="微软雅黑" w:eastAsia="微软雅黑" w:cs="微软雅黑"/>
          <w:color w:val="333333"/>
          <w:spacing w:val="8"/>
          <w:sz w:val="30"/>
          <w:szCs w:val="30"/>
          <w:shd w:val="clear" w:color="auto" w:fill="FFFFFF"/>
        </w:rPr>
        <w:t>一、基本原则</w:t>
      </w:r>
    </w:p>
    <w:p>
      <w:pPr>
        <w:shd w:val="clear" w:color="auto" w:fill="FFFFFF"/>
        <w:spacing w:line="420" w:lineRule="atLeast"/>
        <w:ind w:firstLine="675"/>
        <w:rPr>
          <w:rFonts w:hint="eastAsia" w:ascii="宋体" w:hAnsi="宋体" w:eastAsia="宋体" w:cs="宋体"/>
          <w:color w:val="000000"/>
          <w:kern w:val="0"/>
          <w:sz w:val="27"/>
          <w:szCs w:val="27"/>
        </w:rPr>
      </w:pPr>
      <w:r>
        <w:rPr>
          <w:rFonts w:hint="eastAsia" w:ascii="仿宋_gb2312" w:hAnsi="宋体" w:eastAsia="仿宋_gb2312" w:cs="宋体"/>
          <w:color w:val="000000"/>
          <w:kern w:val="0"/>
          <w:sz w:val="35"/>
          <w:szCs w:val="35"/>
        </w:rPr>
        <w:t>坚持分类指导，分类管理，工作有据、指导有力、标准不降、质量不降、有序教学的原则，全力为每一位学生提供学习条件。</w:t>
      </w:r>
    </w:p>
    <w:p>
      <w:pPr>
        <w:pStyle w:val="3"/>
        <w:shd w:val="clear" w:color="auto" w:fill="FFFFFF"/>
        <w:spacing w:beforeAutospacing="0" w:afterAutospacing="0" w:line="240" w:lineRule="auto"/>
        <w:rPr>
          <w:rFonts w:hint="default" w:ascii="微软雅黑" w:hAnsi="微软雅黑" w:eastAsia="微软雅黑" w:cs="微软雅黑"/>
          <w:color w:val="333333"/>
          <w:spacing w:val="8"/>
          <w:sz w:val="30"/>
          <w:szCs w:val="30"/>
          <w:shd w:val="clear" w:color="auto" w:fill="FFFFFF"/>
        </w:rPr>
      </w:pPr>
      <w:r>
        <w:rPr>
          <w:rFonts w:ascii="微软雅黑" w:hAnsi="微软雅黑" w:eastAsia="微软雅黑" w:cs="微软雅黑"/>
          <w:color w:val="333333"/>
          <w:spacing w:val="8"/>
          <w:sz w:val="30"/>
          <w:szCs w:val="30"/>
          <w:shd w:val="clear" w:color="auto" w:fill="FFFFFF"/>
        </w:rPr>
        <w:t>二、具体工作安排</w:t>
      </w:r>
    </w:p>
    <w:p>
      <w:pPr>
        <w:pStyle w:val="3"/>
        <w:shd w:val="clear" w:color="auto" w:fill="FFFFFF"/>
        <w:spacing w:beforeAutospacing="0" w:afterAutospacing="0" w:line="21" w:lineRule="atLeast"/>
        <w:rPr>
          <w:rFonts w:hint="default" w:ascii="微软雅黑" w:hAnsi="微软雅黑" w:eastAsia="微软雅黑" w:cs="微软雅黑"/>
          <w:color w:val="333333"/>
          <w:spacing w:val="8"/>
          <w:sz w:val="30"/>
          <w:szCs w:val="30"/>
          <w:shd w:val="clear" w:color="auto" w:fill="FFFFFF"/>
        </w:rPr>
      </w:pPr>
      <w:r>
        <w:rPr>
          <w:rFonts w:ascii="微软雅黑" w:hAnsi="微软雅黑" w:eastAsia="微软雅黑" w:cs="微软雅黑"/>
          <w:color w:val="333333"/>
          <w:spacing w:val="8"/>
          <w:sz w:val="30"/>
          <w:szCs w:val="30"/>
          <w:shd w:val="clear" w:color="auto" w:fill="FFFFFF"/>
        </w:rPr>
        <w:t>1.全日制学生</w:t>
      </w:r>
    </w:p>
    <w:p>
      <w:pPr>
        <w:shd w:val="clear" w:color="auto" w:fill="FFFFFF"/>
        <w:spacing w:line="420" w:lineRule="atLeast"/>
        <w:ind w:firstLine="675"/>
        <w:jc w:val="left"/>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全日制学生线上课程安排如下表1所示，必须完成相应的线上课程的学习，其中《新型冠状病毒防疫安全公益课》（学习网址如下</w:t>
      </w:r>
      <w:r>
        <w:fldChar w:fldCharType="begin"/>
      </w:r>
      <w:r>
        <w:instrText xml:space="preserve"> HYPERLINK "http://mooc1.chaoxing.com/course/205926248.html" </w:instrText>
      </w:r>
      <w:r>
        <w:fldChar w:fldCharType="separate"/>
      </w:r>
      <w:r>
        <w:rPr>
          <w:rStyle w:val="9"/>
          <w:rFonts w:ascii="仿宋_gb2312" w:hAnsi="宋体" w:eastAsia="仿宋_gb2312" w:cs="宋体"/>
          <w:kern w:val="0"/>
          <w:sz w:val="35"/>
          <w:szCs w:val="35"/>
        </w:rPr>
        <w:t>http://mooc1.chaoxing.com/course/205926248.html</w:t>
      </w:r>
      <w:r>
        <w:rPr>
          <w:rStyle w:val="9"/>
          <w:rFonts w:ascii="仿宋_gb2312" w:hAnsi="宋体" w:eastAsia="仿宋_gb2312" w:cs="宋体"/>
          <w:kern w:val="0"/>
          <w:sz w:val="35"/>
          <w:szCs w:val="35"/>
        </w:rPr>
        <w:fldChar w:fldCharType="end"/>
      </w:r>
      <w:r>
        <w:rPr>
          <w:rFonts w:hint="eastAsia" w:ascii="仿宋_gb2312" w:hAnsi="宋体" w:eastAsia="仿宋_gb2312" w:cs="宋体"/>
          <w:color w:val="000000"/>
          <w:kern w:val="0"/>
          <w:sz w:val="35"/>
          <w:szCs w:val="35"/>
        </w:rPr>
        <w:t>）为全体学生（含大三学生）必修课程，1个学分。《创新创业基础》为大一学生必修课程，线上</w:t>
      </w:r>
      <w:r>
        <w:rPr>
          <w:rFonts w:ascii="仿宋_gb2312" w:hAnsi="宋体" w:eastAsia="仿宋_gb2312" w:cs="宋体"/>
          <w:color w:val="000000"/>
          <w:kern w:val="0"/>
          <w:sz w:val="35"/>
          <w:szCs w:val="35"/>
        </w:rPr>
        <w:t>32学时1学分</w:t>
      </w:r>
      <w:r>
        <w:rPr>
          <w:rFonts w:hint="eastAsia" w:ascii="仿宋_gb2312" w:hAnsi="宋体" w:eastAsia="仿宋_gb2312" w:cs="宋体"/>
          <w:color w:val="000000"/>
          <w:kern w:val="0"/>
          <w:sz w:val="35"/>
          <w:szCs w:val="35"/>
        </w:rPr>
        <w:t>，课程开放时间是</w:t>
      </w:r>
      <w:r>
        <w:rPr>
          <w:rFonts w:ascii="仿宋_gb2312" w:hAnsi="宋体" w:eastAsia="仿宋_gb2312" w:cs="宋体"/>
          <w:color w:val="000000"/>
          <w:kern w:val="0"/>
          <w:sz w:val="35"/>
          <w:szCs w:val="35"/>
        </w:rPr>
        <w:t>2月9日~5月29日</w:t>
      </w:r>
      <w:r>
        <w:rPr>
          <w:rFonts w:hint="eastAsia" w:ascii="仿宋_gb2312" w:hAnsi="宋体" w:eastAsia="仿宋_gb2312" w:cs="宋体"/>
          <w:color w:val="000000"/>
          <w:kern w:val="0"/>
          <w:sz w:val="35"/>
          <w:szCs w:val="35"/>
        </w:rPr>
        <w:t>。另大二每位学生须选择1门线上选修课程（具体课程清单见附件1），选课平台开放时间：</w:t>
      </w:r>
      <w:r>
        <w:rPr>
          <w:rFonts w:ascii="仿宋_gb2312" w:hAnsi="宋体" w:eastAsia="仿宋_gb2312" w:cs="宋体"/>
          <w:color w:val="000000"/>
          <w:kern w:val="0"/>
          <w:sz w:val="35"/>
          <w:szCs w:val="35"/>
        </w:rPr>
        <w:t>2</w:t>
      </w:r>
      <w:r>
        <w:rPr>
          <w:rFonts w:hint="eastAsia" w:ascii="仿宋_gb2312" w:hAnsi="宋体" w:eastAsia="仿宋_gb2312" w:cs="宋体"/>
          <w:color w:val="000000"/>
          <w:kern w:val="0"/>
          <w:sz w:val="35"/>
          <w:szCs w:val="35"/>
        </w:rPr>
        <w:t>月</w:t>
      </w:r>
      <w:r>
        <w:rPr>
          <w:rFonts w:ascii="仿宋_gb2312" w:hAnsi="宋体" w:eastAsia="仿宋_gb2312" w:cs="宋体"/>
          <w:color w:val="000000"/>
          <w:kern w:val="0"/>
          <w:sz w:val="35"/>
          <w:szCs w:val="35"/>
        </w:rPr>
        <w:t>7</w:t>
      </w:r>
      <w:r>
        <w:rPr>
          <w:rFonts w:hint="eastAsia" w:ascii="仿宋_gb2312" w:hAnsi="宋体" w:eastAsia="仿宋_gb2312" w:cs="宋体"/>
          <w:color w:val="000000"/>
          <w:kern w:val="0"/>
          <w:sz w:val="35"/>
          <w:szCs w:val="35"/>
        </w:rPr>
        <w:t>日</w:t>
      </w:r>
      <w:r>
        <w:rPr>
          <w:rFonts w:ascii="仿宋_gb2312" w:hAnsi="宋体" w:eastAsia="仿宋_gb2312" w:cs="宋体"/>
          <w:color w:val="000000"/>
          <w:kern w:val="0"/>
          <w:sz w:val="35"/>
          <w:szCs w:val="35"/>
        </w:rPr>
        <w:t>-2</w:t>
      </w:r>
      <w:r>
        <w:rPr>
          <w:rFonts w:hint="eastAsia" w:ascii="仿宋_gb2312" w:hAnsi="宋体" w:eastAsia="仿宋_gb2312" w:cs="宋体"/>
          <w:color w:val="000000"/>
          <w:kern w:val="0"/>
          <w:sz w:val="35"/>
          <w:szCs w:val="35"/>
        </w:rPr>
        <w:t>月</w:t>
      </w:r>
      <w:r>
        <w:rPr>
          <w:rFonts w:ascii="仿宋_gb2312" w:hAnsi="宋体" w:eastAsia="仿宋_gb2312" w:cs="宋体"/>
          <w:color w:val="000000"/>
          <w:kern w:val="0"/>
          <w:sz w:val="35"/>
          <w:szCs w:val="35"/>
        </w:rPr>
        <w:t>8</w:t>
      </w:r>
      <w:r>
        <w:rPr>
          <w:rFonts w:hint="eastAsia" w:ascii="仿宋_gb2312" w:hAnsi="宋体" w:eastAsia="仿宋_gb2312" w:cs="宋体"/>
          <w:color w:val="000000"/>
          <w:kern w:val="0"/>
          <w:sz w:val="35"/>
          <w:szCs w:val="35"/>
        </w:rPr>
        <w:t>日，课程学习开放时间：2月11日-2月28日，课程考试时间：2月29日（具体选课操作及学习平台登录操作文档见附件2）。</w:t>
      </w:r>
    </w:p>
    <w:p>
      <w:pPr>
        <w:shd w:val="clear" w:color="auto" w:fill="FFFFFF"/>
        <w:spacing w:line="420" w:lineRule="atLeast"/>
        <w:ind w:firstLine="675"/>
        <w:jc w:val="cente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表1 全日制学生线上课程安排</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53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420" w:lineRule="atLeast"/>
              <w:jc w:val="cente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年级</w:t>
            </w:r>
          </w:p>
        </w:tc>
        <w:tc>
          <w:tcPr>
            <w:tcW w:w="4536" w:type="dxa"/>
          </w:tcPr>
          <w:p>
            <w:pPr>
              <w:spacing w:line="420" w:lineRule="atLeast"/>
              <w:jc w:val="cente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课程</w:t>
            </w:r>
          </w:p>
        </w:tc>
        <w:tc>
          <w:tcPr>
            <w:tcW w:w="2977" w:type="dxa"/>
          </w:tcPr>
          <w:p>
            <w:pPr>
              <w:spacing w:line="420" w:lineRule="atLeast"/>
              <w:jc w:val="center"/>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学习时间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42" w:type="dxa"/>
            <w:vMerge w:val="restart"/>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大一</w:t>
            </w:r>
          </w:p>
        </w:tc>
        <w:tc>
          <w:tcPr>
            <w:tcW w:w="4536"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《新型冠状病毒防疫安全公益课》</w:t>
            </w:r>
          </w:p>
        </w:tc>
        <w:tc>
          <w:tcPr>
            <w:tcW w:w="2977"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2月11日-2月28日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42" w:type="dxa"/>
            <w:vMerge w:val="continue"/>
            <w:vAlign w:val="center"/>
          </w:tcPr>
          <w:p>
            <w:pPr>
              <w:spacing w:line="360" w:lineRule="exact"/>
              <w:jc w:val="center"/>
              <w:rPr>
                <w:rFonts w:hint="eastAsia" w:ascii="仿宋_gb2312" w:hAnsi="宋体" w:eastAsia="仿宋_gb2312" w:cs="宋体"/>
                <w:color w:val="000000"/>
                <w:kern w:val="0"/>
                <w:sz w:val="28"/>
                <w:szCs w:val="28"/>
              </w:rPr>
            </w:pPr>
          </w:p>
        </w:tc>
        <w:tc>
          <w:tcPr>
            <w:tcW w:w="4536"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《创新创业基础》</w:t>
            </w:r>
          </w:p>
        </w:tc>
        <w:tc>
          <w:tcPr>
            <w:tcW w:w="2977" w:type="dxa"/>
            <w:vAlign w:val="center"/>
          </w:tcPr>
          <w:p>
            <w:pPr>
              <w:spacing w:line="360" w:lineRule="exact"/>
              <w:jc w:val="center"/>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2月9</w:t>
            </w:r>
            <w:r>
              <w:rPr>
                <w:rFonts w:hint="eastAsia" w:ascii="仿宋_gb2312" w:hAnsi="宋体" w:eastAsia="仿宋_gb2312" w:cs="宋体"/>
                <w:color w:val="000000"/>
                <w:kern w:val="0"/>
                <w:sz w:val="28"/>
                <w:szCs w:val="28"/>
              </w:rPr>
              <w:t xml:space="preserve">  </w:t>
            </w:r>
            <w:r>
              <w:rPr>
                <w:rFonts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rPr>
              <w:t xml:space="preserve"> -</w:t>
            </w:r>
            <w:r>
              <w:rPr>
                <w:rFonts w:ascii="仿宋_gb2312" w:hAnsi="宋体" w:eastAsia="仿宋_gb2312" w:cs="宋体"/>
                <w:color w:val="000000"/>
                <w:kern w:val="0"/>
                <w:sz w:val="28"/>
                <w:szCs w:val="28"/>
              </w:rPr>
              <w:t>5月29日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42" w:type="dxa"/>
            <w:vMerge w:val="restart"/>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大二</w:t>
            </w:r>
          </w:p>
        </w:tc>
        <w:tc>
          <w:tcPr>
            <w:tcW w:w="4536"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《新型冠状病毒防疫安全公益课》</w:t>
            </w:r>
          </w:p>
        </w:tc>
        <w:tc>
          <w:tcPr>
            <w:tcW w:w="2977"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2月11日-2月28日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242" w:type="dxa"/>
            <w:vMerge w:val="continue"/>
            <w:vAlign w:val="center"/>
          </w:tcPr>
          <w:p>
            <w:pPr>
              <w:spacing w:line="360" w:lineRule="exact"/>
              <w:jc w:val="center"/>
              <w:rPr>
                <w:rFonts w:hint="eastAsia" w:ascii="仿宋_gb2312" w:hAnsi="宋体" w:eastAsia="仿宋_gb2312" w:cs="宋体"/>
                <w:color w:val="000000"/>
                <w:kern w:val="0"/>
                <w:sz w:val="28"/>
                <w:szCs w:val="28"/>
              </w:rPr>
            </w:pPr>
          </w:p>
        </w:tc>
        <w:tc>
          <w:tcPr>
            <w:tcW w:w="4536"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任一门线上选修课</w:t>
            </w:r>
          </w:p>
        </w:tc>
        <w:tc>
          <w:tcPr>
            <w:tcW w:w="2977"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2月11日-2月28日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大三</w:t>
            </w:r>
          </w:p>
        </w:tc>
        <w:tc>
          <w:tcPr>
            <w:tcW w:w="4536"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《新型冠状病毒防疫安全公益课》</w:t>
            </w:r>
          </w:p>
        </w:tc>
        <w:tc>
          <w:tcPr>
            <w:tcW w:w="2977" w:type="dxa"/>
            <w:vAlign w:val="center"/>
          </w:tcPr>
          <w:p>
            <w:pPr>
              <w:spacing w:line="36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2月11日-2月28日</w:t>
            </w:r>
          </w:p>
        </w:tc>
      </w:tr>
    </w:tbl>
    <w:p>
      <w:pPr>
        <w:shd w:val="clear" w:color="auto" w:fill="FFFFFF"/>
        <w:spacing w:line="420" w:lineRule="atLeast"/>
        <w:ind w:firstLine="675"/>
        <w:jc w:val="left"/>
        <w:rPr>
          <w:rFonts w:hint="eastAsia" w:ascii="仿宋_gb2312" w:hAnsi="宋体" w:eastAsia="仿宋_gb2312" w:cs="宋体"/>
          <w:color w:val="000000"/>
          <w:kern w:val="0"/>
          <w:sz w:val="35"/>
          <w:szCs w:val="35"/>
        </w:rPr>
      </w:pPr>
    </w:p>
    <w:p>
      <w:pPr>
        <w:pStyle w:val="3"/>
        <w:shd w:val="clear" w:color="auto" w:fill="FFFFFF"/>
        <w:spacing w:beforeAutospacing="0" w:afterAutospacing="0" w:line="21" w:lineRule="atLeast"/>
        <w:rPr>
          <w:rFonts w:hint="default" w:ascii="微软雅黑" w:hAnsi="微软雅黑" w:eastAsia="微软雅黑" w:cs="微软雅黑"/>
          <w:color w:val="333333"/>
          <w:spacing w:val="8"/>
          <w:sz w:val="30"/>
          <w:szCs w:val="30"/>
          <w:shd w:val="clear" w:color="auto" w:fill="FFFFFF"/>
        </w:rPr>
      </w:pPr>
      <w:r>
        <w:rPr>
          <w:rFonts w:ascii="微软雅黑" w:hAnsi="微软雅黑" w:eastAsia="微软雅黑" w:cs="微软雅黑"/>
          <w:color w:val="333333"/>
          <w:spacing w:val="8"/>
          <w:sz w:val="30"/>
          <w:szCs w:val="30"/>
          <w:shd w:val="clear" w:color="auto" w:fill="FFFFFF"/>
        </w:rPr>
        <w:t>2.“二元制”学生</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“二元制”学生将根据人才培养方案的要求安排1门线上课程《军事理论》，课程开放时间：</w:t>
      </w:r>
      <w:r>
        <w:rPr>
          <w:rFonts w:ascii="仿宋_gb2312" w:hAnsi="宋体" w:eastAsia="仿宋_gb2312" w:cs="宋体"/>
          <w:color w:val="000000"/>
          <w:kern w:val="0"/>
          <w:sz w:val="35"/>
          <w:szCs w:val="35"/>
        </w:rPr>
        <w:t>2月10</w:t>
      </w:r>
      <w:r>
        <w:rPr>
          <w:rFonts w:hint="eastAsia" w:ascii="仿宋_gb2312" w:hAnsi="宋体" w:eastAsia="仿宋_gb2312" w:cs="宋体"/>
          <w:color w:val="000000"/>
          <w:kern w:val="0"/>
          <w:sz w:val="35"/>
          <w:szCs w:val="35"/>
        </w:rPr>
        <w:t>日，学习截止时间：</w:t>
      </w:r>
      <w:r>
        <w:rPr>
          <w:rFonts w:ascii="仿宋_gb2312" w:hAnsi="宋体" w:eastAsia="仿宋_gb2312" w:cs="宋体"/>
          <w:color w:val="000000"/>
          <w:kern w:val="0"/>
          <w:sz w:val="35"/>
          <w:szCs w:val="35"/>
        </w:rPr>
        <w:t>3月20</w:t>
      </w:r>
      <w:r>
        <w:rPr>
          <w:rFonts w:hint="eastAsia" w:ascii="仿宋_gb2312" w:hAnsi="宋体" w:eastAsia="仿宋_gb2312" w:cs="宋体"/>
          <w:color w:val="000000"/>
          <w:kern w:val="0"/>
          <w:sz w:val="35"/>
          <w:szCs w:val="35"/>
        </w:rPr>
        <w:t>日（具体学习操作文档见附件3、4）。</w:t>
      </w:r>
    </w:p>
    <w:p>
      <w:pPr>
        <w:pStyle w:val="3"/>
        <w:shd w:val="clear" w:color="auto" w:fill="FFFFFF"/>
        <w:spacing w:beforeAutospacing="0" w:afterAutospacing="0" w:line="21" w:lineRule="atLeast"/>
        <w:rPr>
          <w:rFonts w:hint="default" w:ascii="微软雅黑" w:hAnsi="微软雅黑" w:eastAsia="微软雅黑" w:cs="微软雅黑"/>
          <w:color w:val="333333"/>
          <w:spacing w:val="8"/>
          <w:sz w:val="30"/>
          <w:szCs w:val="30"/>
          <w:shd w:val="clear" w:color="auto" w:fill="FFFFFF"/>
        </w:rPr>
      </w:pPr>
      <w:r>
        <w:rPr>
          <w:rFonts w:ascii="微软雅黑" w:hAnsi="微软雅黑" w:eastAsia="微软雅黑" w:cs="微软雅黑"/>
          <w:color w:val="333333"/>
          <w:spacing w:val="8"/>
          <w:sz w:val="30"/>
          <w:szCs w:val="30"/>
          <w:shd w:val="clear" w:color="auto" w:fill="FFFFFF"/>
        </w:rPr>
        <w:t>3.高职扩招学生</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高职扩招学生将安排《心理健康教育》、《党史国史》2门课程的学习，课程开放时间：</w:t>
      </w:r>
      <w:r>
        <w:rPr>
          <w:rFonts w:ascii="仿宋_gb2312" w:hAnsi="宋体" w:eastAsia="仿宋_gb2312" w:cs="宋体"/>
          <w:color w:val="000000"/>
          <w:kern w:val="0"/>
          <w:sz w:val="35"/>
          <w:szCs w:val="35"/>
        </w:rPr>
        <w:t>2月10</w:t>
      </w:r>
      <w:r>
        <w:rPr>
          <w:rFonts w:hint="eastAsia" w:ascii="仿宋_gb2312" w:hAnsi="宋体" w:eastAsia="仿宋_gb2312" w:cs="宋体"/>
          <w:color w:val="000000"/>
          <w:kern w:val="0"/>
          <w:sz w:val="35"/>
          <w:szCs w:val="35"/>
        </w:rPr>
        <w:t>日，学习截止时间：</w:t>
      </w:r>
      <w:r>
        <w:rPr>
          <w:rFonts w:ascii="仿宋_gb2312" w:hAnsi="宋体" w:eastAsia="仿宋_gb2312" w:cs="宋体"/>
          <w:color w:val="000000"/>
          <w:kern w:val="0"/>
          <w:sz w:val="35"/>
          <w:szCs w:val="35"/>
        </w:rPr>
        <w:t>4月30</w:t>
      </w:r>
      <w:r>
        <w:rPr>
          <w:rFonts w:hint="eastAsia" w:ascii="仿宋_gb2312" w:hAnsi="宋体" w:eastAsia="仿宋_gb2312" w:cs="宋体"/>
          <w:color w:val="000000"/>
          <w:kern w:val="0"/>
          <w:sz w:val="35"/>
          <w:szCs w:val="35"/>
        </w:rPr>
        <w:t>日（具体学习操作文档见附件3、4）。</w:t>
      </w:r>
    </w:p>
    <w:p>
      <w:pPr>
        <w:pStyle w:val="3"/>
        <w:shd w:val="clear" w:color="auto" w:fill="FFFFFF"/>
        <w:spacing w:beforeAutospacing="0" w:afterAutospacing="0" w:line="21" w:lineRule="atLeast"/>
        <w:rPr>
          <w:rFonts w:hint="default" w:ascii="微软雅黑" w:hAnsi="微软雅黑" w:eastAsia="微软雅黑" w:cs="微软雅黑"/>
          <w:color w:val="333333"/>
          <w:spacing w:val="8"/>
          <w:sz w:val="30"/>
          <w:szCs w:val="30"/>
          <w:shd w:val="clear" w:color="auto" w:fill="FFFFFF"/>
        </w:rPr>
      </w:pPr>
      <w:r>
        <w:rPr>
          <w:rFonts w:ascii="微软雅黑" w:hAnsi="微软雅黑" w:eastAsia="微软雅黑" w:cs="微软雅黑"/>
          <w:color w:val="333333"/>
          <w:spacing w:val="8"/>
          <w:sz w:val="30"/>
          <w:szCs w:val="30"/>
          <w:shd w:val="clear" w:color="auto" w:fill="FFFFFF"/>
        </w:rPr>
        <w:t>4.自行组织线上教学</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除以上课程由教务处统一安排开设之外，各院系部可以自行组织承担2019~2020学年第二学期教学任务的教师，依靠各班学委与授课班级学生建立联系。任课教师根据课程特点和学情分析，可以采取如下方式开展课程教学工作：</w:t>
      </w:r>
    </w:p>
    <w:p>
      <w:pPr>
        <w:shd w:val="clear" w:color="auto" w:fill="FFFFFF"/>
        <w:spacing w:line="420" w:lineRule="atLeast"/>
        <w:ind w:firstLine="675"/>
        <w:rPr>
          <w:rFonts w:hint="eastAsia" w:ascii="宋体" w:hAnsi="宋体" w:eastAsia="宋体" w:cs="宋体"/>
          <w:color w:val="000000"/>
          <w:kern w:val="0"/>
          <w:sz w:val="27"/>
          <w:szCs w:val="27"/>
        </w:rPr>
      </w:pPr>
      <w:r>
        <w:rPr>
          <w:rFonts w:hint="eastAsia" w:ascii="仿宋_gb2312" w:hAnsi="宋体" w:eastAsia="仿宋_gb2312" w:cs="宋体"/>
          <w:color w:val="000000"/>
          <w:kern w:val="0"/>
          <w:sz w:val="35"/>
          <w:szCs w:val="35"/>
        </w:rPr>
        <w:t>①任课教师将课程ppt电子版通过学委发给授课班级的学生，供学生自学使用；</w:t>
      </w:r>
    </w:p>
    <w:p>
      <w:pPr>
        <w:spacing w:line="240" w:lineRule="auto"/>
        <w:ind w:firstLine="67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5"/>
          <w:szCs w:val="35"/>
        </w:rPr>
        <w:t>②任课教师根据所承担课程的教学大纲、课程教学目标，充分利用中国大学MOOC、超星、智慧职教、网易公开课等教学平台上的优质课程资源，推荐与课程相近的公开课程，并通过各班学委告知学生，指导学生完成课程基础知识的自学；</w:t>
      </w:r>
    </w:p>
    <w:p>
      <w:pPr>
        <w:spacing w:line="240" w:lineRule="auto"/>
        <w:ind w:firstLine="67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5"/>
          <w:szCs w:val="35"/>
        </w:rPr>
        <w:t>③任课教师可以利用“超星学习通APP”开展线上直播教学、线上辅导、线上答疑、线上作业布置等教学工作。有关超星教学平台相关问题，可以访问</w:t>
      </w:r>
      <w:r>
        <w:fldChar w:fldCharType="begin"/>
      </w:r>
      <w:r>
        <w:instrText xml:space="preserve"> HYPERLINK "https://sharewh.chaoxing.com/share/note/ADB450C4-6424-46E9-842C-F5D0E1213873/note_detail?appId=1000&amp;s_noteId=ADB450C4-6424-46E9-842C-F5D0E1213873&amp;sharebacktype=3&amp;from=groupmessage&amp;isappinstalled=0" \t "_self" </w:instrText>
      </w:r>
      <w:r>
        <w:fldChar w:fldCharType="separate"/>
      </w:r>
      <w:r>
        <w:rPr>
          <w:rStyle w:val="9"/>
          <w:rFonts w:hint="eastAsia" w:ascii="仿宋_gb2312" w:hAnsi="宋体" w:eastAsia="仿宋_gb2312"/>
          <w:color w:val="FF0000"/>
          <w:sz w:val="35"/>
          <w:szCs w:val="35"/>
        </w:rPr>
        <w:t>超星网上教学培训链接</w:t>
      </w:r>
      <w:r>
        <w:rPr>
          <w:rStyle w:val="9"/>
          <w:rFonts w:hint="eastAsia" w:ascii="仿宋_gb2312" w:hAnsi="宋体" w:eastAsia="仿宋_gb2312"/>
          <w:color w:val="FF0000"/>
          <w:sz w:val="35"/>
          <w:szCs w:val="35"/>
        </w:rPr>
        <w:fldChar w:fldCharType="end"/>
      </w:r>
      <w:r>
        <w:rPr>
          <w:rFonts w:hint="eastAsia" w:ascii="仿宋_gb2312" w:hAnsi="宋体" w:eastAsia="仿宋_gb2312" w:cs="宋体"/>
          <w:color w:val="000000"/>
          <w:kern w:val="0"/>
          <w:sz w:val="35"/>
          <w:szCs w:val="35"/>
        </w:rPr>
        <w:t>进行视频学习。</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请各院系部领导、教学管理人员务必及时将教学安排通知到位，并跟踪学生线上学习情况，并做好后续学分认定工作，有问题请及时与我处沟通。</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超星技术工作人员、教务处相关负责老师将实时在QQ群（群号：</w:t>
      </w:r>
      <w:r>
        <w:rPr>
          <w:rFonts w:ascii="仿宋_gb2312" w:hAnsi="宋体" w:eastAsia="仿宋_gb2312" w:cs="宋体"/>
          <w:color w:val="000000"/>
          <w:kern w:val="0"/>
          <w:sz w:val="35"/>
          <w:szCs w:val="35"/>
        </w:rPr>
        <w:t>1039483192</w:t>
      </w:r>
      <w:r>
        <w:rPr>
          <w:rFonts w:hint="eastAsia" w:ascii="仿宋_gb2312" w:hAnsi="宋体" w:eastAsia="仿宋_gb2312" w:cs="宋体"/>
          <w:color w:val="000000"/>
          <w:kern w:val="0"/>
          <w:sz w:val="35"/>
          <w:szCs w:val="35"/>
        </w:rPr>
        <w:t>）及线上为开课学生提供技术支持，以保障教学顺利开展。</w:t>
      </w:r>
    </w:p>
    <w:p>
      <w:pPr>
        <w:shd w:val="clear" w:color="auto" w:fill="FFFFFF"/>
        <w:spacing w:line="420" w:lineRule="atLeast"/>
        <w:ind w:firstLine="675"/>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防控新型冠状病毒感染的肺炎疫情是当前重中之重的任务，感谢各院系(部)对疫情防控工作的理解、支持与配合。</w:t>
      </w:r>
    </w:p>
    <w:p>
      <w:pPr>
        <w:pStyle w:val="6"/>
        <w:spacing w:before="0" w:beforeAutospacing="0" w:after="75" w:afterAutospacing="0" w:line="570" w:lineRule="atLeast"/>
        <w:ind w:firstLine="560"/>
        <w:rPr>
          <w:color w:val="000000"/>
          <w:sz w:val="21"/>
          <w:szCs w:val="21"/>
        </w:rPr>
      </w:pPr>
    </w:p>
    <w:p>
      <w:pPr>
        <w:shd w:val="clear" w:color="auto" w:fill="FFFFFF"/>
        <w:spacing w:line="420" w:lineRule="atLeast"/>
        <w:ind w:firstLine="675"/>
        <w:jc w:val="right"/>
        <w:rPr>
          <w:rFonts w:hint="eastAsia" w:ascii="仿宋_gb2312" w:hAnsi="宋体" w:eastAsia="仿宋_gb2312" w:cs="宋体"/>
          <w:color w:val="000000"/>
          <w:kern w:val="0"/>
          <w:sz w:val="35"/>
          <w:szCs w:val="35"/>
        </w:rPr>
      </w:pPr>
      <w:r>
        <w:rPr>
          <w:rFonts w:hint="eastAsia" w:ascii="仿宋_gb2312" w:hAnsi="宋体" w:eastAsia="仿宋_gb2312" w:cs="宋体"/>
          <w:color w:val="000000"/>
          <w:kern w:val="0"/>
          <w:sz w:val="35"/>
          <w:szCs w:val="35"/>
        </w:rPr>
        <w:t>湄洲湾职业技术学院教务处</w:t>
      </w:r>
    </w:p>
    <w:p>
      <w:pPr>
        <w:shd w:val="clear" w:color="auto" w:fill="FFFFFF"/>
        <w:spacing w:line="420" w:lineRule="atLeast"/>
        <w:ind w:firstLine="675"/>
        <w:jc w:val="right"/>
        <w:rPr>
          <w:rFonts w:ascii="宋体" w:hAnsi="宋体" w:eastAsia="宋体" w:cs="宋体"/>
          <w:kern w:val="0"/>
        </w:rPr>
      </w:pPr>
      <w:r>
        <w:rPr>
          <w:rFonts w:hint="eastAsia" w:ascii="仿宋_gb2312" w:hAnsi="宋体" w:eastAsia="仿宋_gb2312" w:cs="宋体"/>
          <w:color w:val="000000"/>
          <w:kern w:val="0"/>
          <w:sz w:val="35"/>
          <w:szCs w:val="35"/>
        </w:rPr>
        <w:t>2020年2月2日</w:t>
      </w:r>
      <w:r>
        <w:br w:type="page"/>
      </w:r>
    </w:p>
    <w:p>
      <w:pPr>
        <w:jc w:val="left"/>
        <w:rPr>
          <w:sz w:val="28"/>
          <w:szCs w:val="28"/>
          <w:shd w:val="clear" w:color="auto" w:fill="FFFFFF"/>
        </w:rPr>
      </w:pPr>
      <w:r>
        <w:rPr>
          <w:rStyle w:val="14"/>
          <w:rFonts w:hint="eastAsia"/>
        </w:rPr>
        <w:t>附件1：</w:t>
      </w:r>
    </w:p>
    <w:tbl>
      <w:tblPr>
        <w:tblStyle w:val="10"/>
        <w:tblW w:w="8662" w:type="dxa"/>
        <w:tblInd w:w="93" w:type="dxa"/>
        <w:tblLayout w:type="fixed"/>
        <w:tblCellMar>
          <w:top w:w="0" w:type="dxa"/>
          <w:left w:w="108" w:type="dxa"/>
          <w:bottom w:w="0" w:type="dxa"/>
          <w:right w:w="108" w:type="dxa"/>
        </w:tblCellMar>
      </w:tblPr>
      <w:tblGrid>
        <w:gridCol w:w="866"/>
        <w:gridCol w:w="2977"/>
        <w:gridCol w:w="1275"/>
        <w:gridCol w:w="2127"/>
        <w:gridCol w:w="1417"/>
      </w:tblGrid>
      <w:tr>
        <w:tblPrEx>
          <w:tblLayout w:type="fixed"/>
          <w:tblCellMar>
            <w:top w:w="0" w:type="dxa"/>
            <w:left w:w="108" w:type="dxa"/>
            <w:bottom w:w="0" w:type="dxa"/>
            <w:right w:w="108" w:type="dxa"/>
          </w:tblCellMar>
        </w:tblPrEx>
        <w:trPr>
          <w:trHeight w:val="315" w:hRule="atLeast"/>
        </w:trPr>
        <w:tc>
          <w:tcPr>
            <w:tcW w:w="866" w:type="dxa"/>
            <w:tcBorders>
              <w:top w:val="single" w:color="auto" w:sz="4" w:space="0"/>
              <w:left w:val="single" w:color="auto" w:sz="8" w:space="0"/>
              <w:bottom w:val="single" w:color="auto" w:sz="4" w:space="0"/>
              <w:right w:val="single" w:color="auto" w:sz="4" w:space="0"/>
            </w:tcBorders>
            <w:shd w:val="clear" w:color="000000" w:fill="969696"/>
            <w:vAlign w:val="center"/>
          </w:tcPr>
          <w:p>
            <w:pPr>
              <w:jc w:val="center"/>
              <w:rPr>
                <w:rFonts w:ascii="华文细黑" w:hAnsi="华文细黑" w:eastAsia="华文细黑" w:cs="宋体"/>
                <w:b/>
                <w:bCs/>
                <w:kern w:val="0"/>
                <w:sz w:val="20"/>
                <w:szCs w:val="20"/>
              </w:rPr>
            </w:pPr>
            <w:r>
              <w:rPr>
                <w:rFonts w:hint="eastAsia" w:ascii="华文细黑" w:hAnsi="华文细黑" w:eastAsia="华文细黑" w:cs="宋体"/>
                <w:b/>
                <w:bCs/>
                <w:kern w:val="0"/>
                <w:sz w:val="20"/>
                <w:szCs w:val="20"/>
              </w:rPr>
              <w:t>序号</w:t>
            </w:r>
          </w:p>
        </w:tc>
        <w:tc>
          <w:tcPr>
            <w:tcW w:w="2977" w:type="dxa"/>
            <w:tcBorders>
              <w:top w:val="single" w:color="auto" w:sz="4" w:space="0"/>
              <w:left w:val="single" w:color="auto" w:sz="8" w:space="0"/>
              <w:bottom w:val="single" w:color="auto" w:sz="4" w:space="0"/>
              <w:right w:val="single" w:color="auto" w:sz="4" w:space="0"/>
            </w:tcBorders>
            <w:shd w:val="clear" w:color="000000" w:fill="969696"/>
            <w:vAlign w:val="center"/>
          </w:tcPr>
          <w:p>
            <w:pPr>
              <w:jc w:val="center"/>
              <w:rPr>
                <w:rFonts w:ascii="华文细黑" w:hAnsi="华文细黑" w:eastAsia="华文细黑" w:cs="宋体"/>
                <w:b/>
                <w:bCs/>
                <w:kern w:val="0"/>
                <w:sz w:val="20"/>
                <w:szCs w:val="20"/>
              </w:rPr>
            </w:pPr>
            <w:r>
              <w:rPr>
                <w:rFonts w:hint="eastAsia" w:ascii="华文细黑" w:hAnsi="华文细黑" w:eastAsia="华文细黑" w:cs="宋体"/>
                <w:b/>
                <w:bCs/>
                <w:kern w:val="0"/>
                <w:sz w:val="20"/>
                <w:szCs w:val="20"/>
              </w:rPr>
              <w:t>课程名称</w:t>
            </w:r>
          </w:p>
        </w:tc>
        <w:tc>
          <w:tcPr>
            <w:tcW w:w="1275" w:type="dxa"/>
            <w:tcBorders>
              <w:top w:val="single" w:color="auto" w:sz="4" w:space="0"/>
              <w:left w:val="nil"/>
              <w:bottom w:val="single" w:color="auto" w:sz="4" w:space="0"/>
              <w:right w:val="single" w:color="auto" w:sz="4" w:space="0"/>
            </w:tcBorders>
            <w:shd w:val="clear" w:color="000000" w:fill="969696"/>
            <w:vAlign w:val="center"/>
          </w:tcPr>
          <w:p>
            <w:pPr>
              <w:jc w:val="center"/>
              <w:rPr>
                <w:rFonts w:ascii="华文细黑" w:hAnsi="华文细黑" w:eastAsia="华文细黑" w:cs="宋体"/>
                <w:b/>
                <w:bCs/>
                <w:kern w:val="0"/>
                <w:sz w:val="20"/>
                <w:szCs w:val="20"/>
              </w:rPr>
            </w:pPr>
            <w:r>
              <w:rPr>
                <w:rFonts w:hint="eastAsia" w:ascii="华文细黑" w:hAnsi="华文细黑" w:eastAsia="华文细黑" w:cs="宋体"/>
                <w:b/>
                <w:bCs/>
                <w:kern w:val="0"/>
                <w:sz w:val="20"/>
                <w:szCs w:val="20"/>
              </w:rPr>
              <w:t>教师</w:t>
            </w:r>
          </w:p>
        </w:tc>
        <w:tc>
          <w:tcPr>
            <w:tcW w:w="2127" w:type="dxa"/>
            <w:tcBorders>
              <w:top w:val="single" w:color="auto" w:sz="4" w:space="0"/>
              <w:left w:val="nil"/>
              <w:bottom w:val="single" w:color="auto" w:sz="4" w:space="0"/>
              <w:right w:val="single" w:color="auto" w:sz="4" w:space="0"/>
            </w:tcBorders>
            <w:shd w:val="clear" w:color="000000" w:fill="969696"/>
            <w:vAlign w:val="center"/>
          </w:tcPr>
          <w:p>
            <w:pPr>
              <w:jc w:val="center"/>
              <w:rPr>
                <w:rFonts w:ascii="华文细黑" w:hAnsi="华文细黑" w:eastAsia="华文细黑" w:cs="宋体"/>
                <w:b/>
                <w:bCs/>
                <w:kern w:val="0"/>
                <w:sz w:val="20"/>
                <w:szCs w:val="20"/>
              </w:rPr>
            </w:pPr>
            <w:r>
              <w:rPr>
                <w:rFonts w:hint="eastAsia" w:ascii="华文细黑" w:hAnsi="华文细黑" w:eastAsia="华文细黑" w:cs="宋体"/>
                <w:b/>
                <w:bCs/>
                <w:kern w:val="0"/>
                <w:sz w:val="20"/>
                <w:szCs w:val="20"/>
              </w:rPr>
              <w:t>机构</w:t>
            </w:r>
          </w:p>
        </w:tc>
        <w:tc>
          <w:tcPr>
            <w:tcW w:w="1417" w:type="dxa"/>
            <w:tcBorders>
              <w:top w:val="single" w:color="auto" w:sz="4" w:space="0"/>
              <w:left w:val="nil"/>
              <w:bottom w:val="single" w:color="auto" w:sz="4" w:space="0"/>
              <w:right w:val="single" w:color="auto" w:sz="4" w:space="0"/>
            </w:tcBorders>
            <w:shd w:val="clear" w:color="000000" w:fill="969696"/>
            <w:vAlign w:val="center"/>
          </w:tcPr>
          <w:p>
            <w:pPr>
              <w:jc w:val="center"/>
              <w:rPr>
                <w:rFonts w:ascii="华文细黑" w:hAnsi="华文细黑" w:eastAsia="华文细黑" w:cs="宋体"/>
                <w:b/>
                <w:bCs/>
                <w:kern w:val="0"/>
                <w:sz w:val="20"/>
                <w:szCs w:val="20"/>
              </w:rPr>
            </w:pPr>
            <w:r>
              <w:rPr>
                <w:rFonts w:hint="eastAsia" w:ascii="华文细黑" w:hAnsi="华文细黑" w:eastAsia="华文细黑" w:cs="宋体"/>
                <w:b/>
                <w:bCs/>
                <w:kern w:val="0"/>
                <w:sz w:val="20"/>
                <w:szCs w:val="20"/>
              </w:rPr>
              <w:t>平台</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中国历史人文地理（上）</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葛剑雄</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复旦大学</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2</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心理学的智慧</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许科</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上海大学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3</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先秦诸子</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杨泽波</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复旦大学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4</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古希腊的思想世界</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梁中和</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四川大学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5</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xml:space="preserve">微表情识别·读脸读心    </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范海鹰</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上海政法学院</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6</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中国古典小说鉴赏</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沈鸣鸣</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同济大学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7</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走近大诗人</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戴建业</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华中师范大学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8</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穿T恤听古典音乐</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田艺苗</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上海音乐学院</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9</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深邃的世界：西方绘画中的科学</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郭亮</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上海大学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10</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智能文明</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顾骏 等</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上海大学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11</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xml:space="preserve"> 科幻中的物理学</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李淼</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中山大学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12</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经济学原理（上）：中国故事</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陈钊</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复旦大学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13</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透过性别看世界</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沈奕斐</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复旦大学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14</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《论语》精读</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孟琢</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北京师范大学</w:t>
            </w:r>
          </w:p>
        </w:tc>
        <w:tc>
          <w:tcPr>
            <w:tcW w:w="1417" w:type="dxa"/>
            <w:tcBorders>
              <w:top w:val="nil"/>
              <w:left w:val="nil"/>
              <w:bottom w:val="single" w:color="auto" w:sz="4" w:space="0"/>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nil"/>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15</w:t>
            </w:r>
          </w:p>
        </w:tc>
        <w:tc>
          <w:tcPr>
            <w:tcW w:w="2977" w:type="dxa"/>
            <w:tcBorders>
              <w:top w:val="nil"/>
              <w:left w:val="nil"/>
              <w:bottom w:val="nil"/>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xml:space="preserve"> 《诗经》导读 </w:t>
            </w:r>
          </w:p>
        </w:tc>
        <w:tc>
          <w:tcPr>
            <w:tcW w:w="1275" w:type="dxa"/>
            <w:tcBorders>
              <w:top w:val="nil"/>
              <w:left w:val="nil"/>
              <w:bottom w:val="nil"/>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李山</w:t>
            </w:r>
          </w:p>
        </w:tc>
        <w:tc>
          <w:tcPr>
            <w:tcW w:w="2127" w:type="dxa"/>
            <w:tcBorders>
              <w:top w:val="nil"/>
              <w:left w:val="nil"/>
              <w:bottom w:val="nil"/>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北京师范大学</w:t>
            </w:r>
          </w:p>
        </w:tc>
        <w:tc>
          <w:tcPr>
            <w:tcW w:w="1417" w:type="dxa"/>
            <w:tcBorders>
              <w:top w:val="nil"/>
              <w:left w:val="nil"/>
              <w:bottom w:val="nil"/>
              <w:right w:val="single" w:color="auto" w:sz="4" w:space="0"/>
            </w:tcBorders>
            <w:shd w:val="clear" w:color="auto" w:fill="auto"/>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超星</w:t>
            </w:r>
          </w:p>
        </w:tc>
      </w:tr>
      <w:tr>
        <w:tblPrEx>
          <w:tblLayout w:type="fixed"/>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16</w:t>
            </w:r>
          </w:p>
        </w:tc>
        <w:tc>
          <w:tcPr>
            <w:tcW w:w="297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创新创业基础</w:t>
            </w:r>
          </w:p>
        </w:tc>
        <w:tc>
          <w:tcPr>
            <w:tcW w:w="1275"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杨丽贞</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湄洲湾职业技术学院</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智慧职教</w:t>
            </w:r>
          </w:p>
        </w:tc>
      </w:tr>
    </w:tbl>
    <w:p>
      <w:pPr>
        <w:pStyle w:val="6"/>
        <w:spacing w:before="0" w:beforeAutospacing="0" w:after="75" w:afterAutospacing="0" w:line="570" w:lineRule="atLeast"/>
        <w:ind w:firstLine="560"/>
        <w:jc w:val="right"/>
        <w:rPr>
          <w:color w:val="000000"/>
          <w:sz w:val="21"/>
          <w:szCs w:val="21"/>
        </w:rPr>
      </w:pPr>
    </w:p>
    <w:p>
      <w:pPr>
        <w:rPr>
          <w:rStyle w:val="14"/>
          <w:rFonts w:ascii="宋体" w:hAnsi="宋体" w:eastAsia="宋体" w:cs="宋体"/>
          <w:b w:val="0"/>
          <w:bCs w:val="0"/>
          <w:kern w:val="0"/>
          <w:sz w:val="21"/>
          <w:szCs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苹方-简">
    <w:altName w:val="微软雅黑"/>
    <w:panose1 w:val="00000000000000000000"/>
    <w:charset w:val="86"/>
    <w:family w:val="swiss"/>
    <w:pitch w:val="default"/>
    <w:sig w:usb0="00000000" w:usb1="00000000" w:usb2="00000017"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AB"/>
    <w:rsid w:val="00095764"/>
    <w:rsid w:val="000E2D53"/>
    <w:rsid w:val="00130F82"/>
    <w:rsid w:val="001724DC"/>
    <w:rsid w:val="00173623"/>
    <w:rsid w:val="001B693A"/>
    <w:rsid w:val="001D1C9F"/>
    <w:rsid w:val="00205275"/>
    <w:rsid w:val="002111D2"/>
    <w:rsid w:val="00256D97"/>
    <w:rsid w:val="0028221F"/>
    <w:rsid w:val="002A024D"/>
    <w:rsid w:val="002D35FD"/>
    <w:rsid w:val="003805F0"/>
    <w:rsid w:val="003D379E"/>
    <w:rsid w:val="00451D96"/>
    <w:rsid w:val="00497C72"/>
    <w:rsid w:val="00502374"/>
    <w:rsid w:val="00522B32"/>
    <w:rsid w:val="005F49AA"/>
    <w:rsid w:val="006860A0"/>
    <w:rsid w:val="006E4B3C"/>
    <w:rsid w:val="00734F78"/>
    <w:rsid w:val="007706B2"/>
    <w:rsid w:val="0078541C"/>
    <w:rsid w:val="007C380A"/>
    <w:rsid w:val="008032AB"/>
    <w:rsid w:val="008428BC"/>
    <w:rsid w:val="008B7857"/>
    <w:rsid w:val="008C07FC"/>
    <w:rsid w:val="008D7391"/>
    <w:rsid w:val="00920974"/>
    <w:rsid w:val="00937734"/>
    <w:rsid w:val="0099319E"/>
    <w:rsid w:val="00994234"/>
    <w:rsid w:val="00AA7473"/>
    <w:rsid w:val="00AC1A94"/>
    <w:rsid w:val="00AC5874"/>
    <w:rsid w:val="00AF40FF"/>
    <w:rsid w:val="00B10D3C"/>
    <w:rsid w:val="00B25ADD"/>
    <w:rsid w:val="00C51F30"/>
    <w:rsid w:val="00CB3EBB"/>
    <w:rsid w:val="00D143FD"/>
    <w:rsid w:val="00D66A4B"/>
    <w:rsid w:val="00E773FC"/>
    <w:rsid w:val="00EC07FF"/>
    <w:rsid w:val="00EC2601"/>
    <w:rsid w:val="00EE2F5B"/>
    <w:rsid w:val="00F53A2C"/>
    <w:rsid w:val="00FA6AD9"/>
    <w:rsid w:val="03E60DFE"/>
    <w:rsid w:val="0AB76EAC"/>
    <w:rsid w:val="30910B88"/>
    <w:rsid w:val="505E7473"/>
    <w:rsid w:val="5CD13854"/>
    <w:rsid w:val="5CD778CB"/>
    <w:rsid w:val="6666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苹方-简" w:hAnsi="苹方-简" w:eastAsia="苹方-简" w:cs="Times New Roman (正文 CS 字体)"/>
      <w:kern w:val="2"/>
      <w:sz w:val="21"/>
      <w:szCs w:val="24"/>
      <w:lang w:val="en-US" w:eastAsia="zh-CN" w:bidi="ar-SA"/>
    </w:rPr>
  </w:style>
  <w:style w:type="paragraph" w:styleId="2">
    <w:name w:val="heading 1"/>
    <w:basedOn w:val="1"/>
    <w:next w:val="1"/>
    <w:link w:val="14"/>
    <w:qFormat/>
    <w:uiPriority w:val="9"/>
    <w:pPr>
      <w:keepNext/>
      <w:keepLines/>
      <w:widowControl w:val="0"/>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6"/>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uiPriority w:val="99"/>
    <w:pPr>
      <w:spacing w:before="100" w:beforeAutospacing="1" w:after="100" w:afterAutospacing="1" w:line="240" w:lineRule="auto"/>
      <w:jc w:val="left"/>
    </w:pPr>
    <w:rPr>
      <w:rFonts w:ascii="宋体" w:hAnsi="宋体" w:eastAsia="宋体" w:cs="宋体"/>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vsbcontent_start"/>
    <w:basedOn w:val="1"/>
    <w:uiPriority w:val="0"/>
    <w:pPr>
      <w:spacing w:before="100" w:beforeAutospacing="1" w:after="100" w:afterAutospacing="1" w:line="240" w:lineRule="auto"/>
      <w:jc w:val="left"/>
    </w:pPr>
    <w:rPr>
      <w:rFonts w:ascii="宋体" w:hAnsi="宋体" w:eastAsia="宋体" w:cs="宋体"/>
      <w:kern w:val="0"/>
      <w:sz w:val="24"/>
    </w:rPr>
  </w:style>
  <w:style w:type="character" w:customStyle="1" w:styleId="13">
    <w:name w:val="Unresolved Mention"/>
    <w:basedOn w:val="7"/>
    <w:semiHidden/>
    <w:unhideWhenUsed/>
    <w:uiPriority w:val="99"/>
    <w:rPr>
      <w:color w:val="605E5C"/>
      <w:shd w:val="clear" w:color="auto" w:fill="E1DFDD"/>
    </w:rPr>
  </w:style>
  <w:style w:type="character" w:customStyle="1" w:styleId="14">
    <w:name w:val="标题 1 Char"/>
    <w:basedOn w:val="7"/>
    <w:link w:val="2"/>
    <w:uiPriority w:val="9"/>
    <w:rPr>
      <w:rFonts w:asciiTheme="minorHAnsi" w:hAnsiTheme="minorHAnsi" w:eastAsiaTheme="minorEastAsia" w:cstheme="minorBidi"/>
      <w:b/>
      <w:bCs/>
      <w:kern w:val="44"/>
      <w:sz w:val="44"/>
      <w:szCs w:val="44"/>
    </w:rPr>
  </w:style>
  <w:style w:type="character" w:customStyle="1" w:styleId="15">
    <w:name w:val="页眉 Char"/>
    <w:basedOn w:val="7"/>
    <w:link w:val="5"/>
    <w:uiPriority w:val="99"/>
    <w:rPr>
      <w:rFonts w:ascii="苹方-简" w:hAnsi="苹方-简" w:eastAsia="苹方-简" w:cs="Times New Roman (正文 CS 字体)"/>
      <w:kern w:val="2"/>
      <w:sz w:val="18"/>
      <w:szCs w:val="18"/>
    </w:rPr>
  </w:style>
  <w:style w:type="character" w:customStyle="1" w:styleId="16">
    <w:name w:val="页脚 Char"/>
    <w:basedOn w:val="7"/>
    <w:link w:val="4"/>
    <w:uiPriority w:val="99"/>
    <w:rPr>
      <w:rFonts w:ascii="苹方-简" w:hAnsi="苹方-简" w:eastAsia="苹方-简" w:cs="Times New Roman (正文 CS 字体)"/>
      <w:kern w:val="2"/>
      <w:sz w:val="18"/>
      <w:szCs w:val="18"/>
    </w:rPr>
  </w:style>
  <w:style w:type="paragraph" w:styleId="17">
    <w:name w:val="List Paragraph"/>
    <w:basedOn w:val="1"/>
    <w:unhideWhenUsed/>
    <w:uiPriority w:val="99"/>
    <w:pPr>
      <w:ind w:firstLine="420" w:firstLineChars="200"/>
    </w:pPr>
  </w:style>
  <w:style w:type="paragraph" w:customStyle="1" w:styleId="18">
    <w:name w:val="reader-word-layer"/>
    <w:basedOn w:val="1"/>
    <w:qFormat/>
    <w:uiPriority w:val="0"/>
    <w:pPr>
      <w:spacing w:before="100" w:beforeAutospacing="1" w:after="100" w:afterAutospacing="1" w:line="240" w:lineRule="auto"/>
      <w:jc w:val="left"/>
    </w:pPr>
    <w:rPr>
      <w:rFonts w:ascii="宋体" w:hAnsi="宋体" w:eastAsia="宋体" w:cs="宋体"/>
      <w:kern w:val="0"/>
      <w:sz w:val="24"/>
    </w:rPr>
  </w:style>
  <w:style w:type="paragraph" w:customStyle="1" w:styleId="19">
    <w:name w:val="style1"/>
    <w:basedOn w:val="1"/>
    <w:qFormat/>
    <w:uiPriority w:val="0"/>
    <w:pPr>
      <w:spacing w:before="100" w:beforeAutospacing="1" w:after="100" w:afterAutospacing="1" w:line="24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ADC55-FECF-4EF6-84ED-AFC71AF31EB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340</Words>
  <Characters>1939</Characters>
  <Lines>16</Lines>
  <Paragraphs>4</Paragraphs>
  <TotalTime>228</TotalTime>
  <ScaleCrop>false</ScaleCrop>
  <LinksUpToDate>false</LinksUpToDate>
  <CharactersWithSpaces>2275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2020-02-02T02:35:00Z</dcterms:created>
  <dc:creator>林 若川</dc:creator>
  <cp:lastModifiedBy>a</cp:lastModifiedBy>
  <dcterms:modified xsi:type="dcterms:W3CDTF">2020-02-08T06:19:32Z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